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AF7" w:rsidRPr="00247F60" w:rsidRDefault="004E1AF7" w:rsidP="004E1AF7">
      <w:pPr>
        <w:spacing w:line="300" w:lineRule="exact"/>
        <w:jc w:val="center"/>
        <w:rPr>
          <w:rFonts w:hAnsi="ＭＳ 明朝"/>
          <w:b/>
          <w:sz w:val="24"/>
        </w:rPr>
      </w:pPr>
      <w:r w:rsidRPr="00247F60">
        <w:rPr>
          <w:rFonts w:hAnsi="ＭＳ 明朝" w:hint="eastAsia"/>
          <w:b/>
          <w:sz w:val="24"/>
        </w:rPr>
        <w:t>成年後見支援貯金に関する特約</w:t>
      </w:r>
    </w:p>
    <w:p w:rsidR="004E1AF7" w:rsidRPr="00247F60" w:rsidRDefault="004E1AF7" w:rsidP="004E1AF7">
      <w:pPr>
        <w:spacing w:line="300" w:lineRule="exact"/>
        <w:rPr>
          <w:rFonts w:hAnsi="ＭＳ 明朝"/>
        </w:rPr>
      </w:pPr>
    </w:p>
    <w:p w:rsidR="004E1AF7" w:rsidRPr="00247F60" w:rsidRDefault="004E1AF7" w:rsidP="004E1AF7">
      <w:pPr>
        <w:spacing w:line="300" w:lineRule="exact"/>
        <w:rPr>
          <w:rFonts w:hAnsi="ＭＳ 明朝"/>
        </w:rPr>
      </w:pPr>
      <w:r w:rsidRPr="00247F60">
        <w:rPr>
          <w:rFonts w:hAnsi="ＭＳ 明朝" w:hint="eastAsia"/>
        </w:rPr>
        <w:t xml:space="preserve">　成年後見支援貯金は、当組合で定める「普通貯金規定」（以下、「規定」といいます。）または「普通貯金無利息型（決済用）規定」（以下、「無利息型規定」といいます。）によるほか、以下の特別約定（以下、「特約」といいます。）に定めるところにより取扱います。</w:t>
      </w:r>
    </w:p>
    <w:p w:rsidR="004E1AF7" w:rsidRPr="00247F60" w:rsidRDefault="004E1AF7" w:rsidP="004E1AF7">
      <w:pPr>
        <w:spacing w:line="300" w:lineRule="exact"/>
        <w:rPr>
          <w:rFonts w:hAnsi="ＭＳ 明朝"/>
        </w:rPr>
      </w:pPr>
    </w:p>
    <w:p w:rsidR="004E1AF7" w:rsidRPr="00247F60" w:rsidRDefault="004E1AF7" w:rsidP="004E1AF7">
      <w:pPr>
        <w:spacing w:line="300" w:lineRule="exact"/>
        <w:rPr>
          <w:rFonts w:hAnsi="ＭＳ 明朝"/>
          <w:b/>
        </w:rPr>
      </w:pPr>
      <w:r w:rsidRPr="00247F60">
        <w:rPr>
          <w:rFonts w:hAnsi="ＭＳ 明朝" w:hint="eastAsia"/>
          <w:b/>
        </w:rPr>
        <w:t>１．（特約の適用範囲）</w:t>
      </w:r>
    </w:p>
    <w:p w:rsidR="004E1AF7" w:rsidRPr="00247F60" w:rsidRDefault="004E1AF7" w:rsidP="004E1AF7">
      <w:pPr>
        <w:spacing w:line="300" w:lineRule="exact"/>
        <w:ind w:leftChars="100" w:left="210" w:firstLineChars="100" w:firstLine="210"/>
        <w:rPr>
          <w:rFonts w:hAnsi="ＭＳ 明朝"/>
          <w:b/>
        </w:rPr>
      </w:pPr>
      <w:r w:rsidRPr="00247F60">
        <w:rPr>
          <w:rFonts w:hAnsi="ＭＳ 明朝" w:hint="eastAsia"/>
        </w:rPr>
        <w:t>家庭裁判所からの指示書（以下、「指示書」という。）の交付を受けた者とし、かつ１口座に限定します。</w:t>
      </w:r>
    </w:p>
    <w:p w:rsidR="004E1AF7" w:rsidRPr="00247F60" w:rsidRDefault="004E1AF7" w:rsidP="004E1AF7">
      <w:pPr>
        <w:spacing w:line="300" w:lineRule="exact"/>
        <w:ind w:left="210" w:hangingChars="100" w:hanging="210"/>
        <w:rPr>
          <w:rFonts w:hAnsi="ＭＳ 明朝"/>
          <w:shd w:val="pct40" w:color="auto" w:fill="auto"/>
        </w:rPr>
      </w:pPr>
    </w:p>
    <w:p w:rsidR="004E1AF7" w:rsidRPr="00247F60" w:rsidRDefault="004E1AF7" w:rsidP="004E1AF7">
      <w:pPr>
        <w:spacing w:line="300" w:lineRule="exact"/>
        <w:rPr>
          <w:rFonts w:hAnsi="ＭＳ 明朝"/>
          <w:b/>
        </w:rPr>
      </w:pPr>
      <w:r w:rsidRPr="00247F60">
        <w:rPr>
          <w:rFonts w:hAnsi="ＭＳ 明朝" w:hint="eastAsia"/>
          <w:b/>
        </w:rPr>
        <w:t>２．（取扱店舗の制約）</w:t>
      </w:r>
    </w:p>
    <w:p w:rsidR="004E1AF7" w:rsidRPr="00247F60" w:rsidRDefault="004E1AF7" w:rsidP="004E1AF7">
      <w:pPr>
        <w:spacing w:line="300" w:lineRule="exact"/>
        <w:ind w:firstLineChars="200" w:firstLine="420"/>
        <w:rPr>
          <w:rFonts w:hAnsi="ＭＳ 明朝"/>
          <w:b/>
        </w:rPr>
      </w:pPr>
      <w:r w:rsidRPr="00247F60">
        <w:rPr>
          <w:rFonts w:hAnsi="ＭＳ 明朝" w:cs="ＭＳ Ｐゴシック" w:hint="eastAsia"/>
          <w:lang w:val="ja-JP"/>
        </w:rPr>
        <w:t>口座開設店舗のみを取扱店とし、当組合の他の店舗では取扱できません。</w:t>
      </w:r>
    </w:p>
    <w:p w:rsidR="004E1AF7" w:rsidRPr="00247F60" w:rsidRDefault="004E1AF7" w:rsidP="004E1AF7">
      <w:pPr>
        <w:spacing w:line="300" w:lineRule="exact"/>
        <w:rPr>
          <w:rFonts w:hAnsi="ＭＳ 明朝"/>
          <w:shd w:val="pct40" w:color="auto" w:fill="auto"/>
        </w:rPr>
      </w:pPr>
    </w:p>
    <w:p w:rsidR="004E1AF7" w:rsidRPr="00247F60" w:rsidRDefault="004E1AF7" w:rsidP="004E1AF7">
      <w:pPr>
        <w:spacing w:line="300" w:lineRule="exact"/>
        <w:rPr>
          <w:rFonts w:hAnsi="ＭＳ 明朝"/>
          <w:b/>
        </w:rPr>
      </w:pPr>
      <w:r w:rsidRPr="00247F60">
        <w:rPr>
          <w:rFonts w:hAnsi="ＭＳ 明朝" w:hint="eastAsia"/>
          <w:b/>
        </w:rPr>
        <w:t>３．（取引の方法）</w:t>
      </w:r>
    </w:p>
    <w:p w:rsidR="004E1AF7" w:rsidRPr="00247F60" w:rsidRDefault="004E1AF7" w:rsidP="004E1AF7">
      <w:pPr>
        <w:spacing w:line="300" w:lineRule="exact"/>
        <w:ind w:leftChars="100" w:left="210" w:firstLineChars="100" w:firstLine="210"/>
        <w:rPr>
          <w:rFonts w:hAnsi="ＭＳ 明朝" w:cs="ＭＳ Ｐゴシック"/>
          <w:lang w:val="ja-JP"/>
        </w:rPr>
      </w:pPr>
      <w:r w:rsidRPr="00247F60">
        <w:rPr>
          <w:rFonts w:hAnsi="ＭＳ 明朝" w:cs="ＭＳ Ｐゴシック" w:hint="eastAsia"/>
          <w:lang w:val="ja-JP"/>
        </w:rPr>
        <w:t>口座の開設・解約、定期交付金の設定・変更・解除、払戻しの取引は「指示書」に基づき取り扱うものとします。取引にあたっては、「指示書」とともに、必要事項を記入し、予めお届けいただいた印章を押印した当組合所定の様式を提出してください。</w:t>
      </w:r>
    </w:p>
    <w:p w:rsidR="004E1AF7" w:rsidRPr="00247F60" w:rsidRDefault="004E1AF7" w:rsidP="004E1AF7">
      <w:pPr>
        <w:spacing w:line="300" w:lineRule="exact"/>
        <w:rPr>
          <w:rFonts w:hAnsi="ＭＳ 明朝"/>
          <w:shd w:val="pct40" w:color="auto" w:fill="auto"/>
        </w:rPr>
      </w:pPr>
    </w:p>
    <w:p w:rsidR="004E1AF7" w:rsidRPr="00247F60" w:rsidRDefault="004E1AF7" w:rsidP="004E1AF7">
      <w:pPr>
        <w:spacing w:line="300" w:lineRule="exact"/>
        <w:rPr>
          <w:rFonts w:hAnsi="ＭＳ 明朝"/>
          <w:b/>
        </w:rPr>
      </w:pPr>
      <w:r w:rsidRPr="00247F60">
        <w:rPr>
          <w:rFonts w:hAnsi="ＭＳ 明朝" w:hint="eastAsia"/>
          <w:b/>
        </w:rPr>
        <w:t>４．（口座振替等）</w:t>
      </w:r>
    </w:p>
    <w:p w:rsidR="004E1AF7" w:rsidRPr="00247F60" w:rsidRDefault="004E1AF7" w:rsidP="004E1AF7">
      <w:pPr>
        <w:ind w:leftChars="100" w:left="210" w:firstLineChars="100" w:firstLine="210"/>
        <w:rPr>
          <w:rFonts w:hAnsi="ＭＳ 明朝"/>
          <w:shd w:val="pct40" w:color="auto" w:fill="auto"/>
        </w:rPr>
      </w:pPr>
      <w:r w:rsidRPr="00247F60">
        <w:rPr>
          <w:rFonts w:hAnsi="ＭＳ 明朝" w:cs="Courier New" w:hint="eastAsia"/>
          <w:kern w:val="0"/>
          <w:szCs w:val="21"/>
        </w:rPr>
        <w:t>この貯金口座は、各種利用料等の支払のための口座振替や、インターネットバンキングの利用ができません。</w:t>
      </w:r>
    </w:p>
    <w:p w:rsidR="004E1AF7" w:rsidRPr="00247F60" w:rsidRDefault="004E1AF7" w:rsidP="004E1AF7">
      <w:pPr>
        <w:spacing w:line="300" w:lineRule="exact"/>
        <w:rPr>
          <w:rFonts w:hAnsi="ＭＳ 明朝"/>
          <w:b/>
        </w:rPr>
      </w:pPr>
    </w:p>
    <w:p w:rsidR="004E1AF7" w:rsidRPr="00247F60" w:rsidRDefault="004E1AF7" w:rsidP="004E1AF7">
      <w:pPr>
        <w:spacing w:line="300" w:lineRule="exact"/>
        <w:rPr>
          <w:rFonts w:hAnsi="ＭＳ 明朝"/>
          <w:b/>
        </w:rPr>
      </w:pPr>
      <w:r w:rsidRPr="00247F60">
        <w:rPr>
          <w:rFonts w:hAnsi="ＭＳ 明朝" w:hint="eastAsia"/>
          <w:b/>
        </w:rPr>
        <w:t>５．（キャッシュカード）</w:t>
      </w:r>
    </w:p>
    <w:p w:rsidR="004E1AF7" w:rsidRPr="00247F60" w:rsidRDefault="004E1AF7" w:rsidP="004E1AF7">
      <w:pPr>
        <w:spacing w:line="300" w:lineRule="exact"/>
        <w:ind w:firstLineChars="200" w:firstLine="420"/>
        <w:rPr>
          <w:rFonts w:hAnsi="ＭＳ 明朝"/>
          <w:shd w:val="pct40" w:color="auto" w:fill="auto"/>
        </w:rPr>
      </w:pPr>
      <w:r w:rsidRPr="00247F60">
        <w:rPr>
          <w:rFonts w:hAnsi="ＭＳ 明朝" w:cs="Courier New" w:hint="eastAsia"/>
          <w:kern w:val="0"/>
          <w:szCs w:val="21"/>
        </w:rPr>
        <w:t>この貯金口座は、キャッシュカードの発行ができません。</w:t>
      </w:r>
    </w:p>
    <w:p w:rsidR="004E1AF7" w:rsidRPr="00247F60" w:rsidRDefault="004E1AF7" w:rsidP="004E1AF7">
      <w:pPr>
        <w:spacing w:line="300" w:lineRule="exact"/>
        <w:rPr>
          <w:rFonts w:hAnsi="ＭＳ 明朝"/>
          <w:shd w:val="pct40" w:color="auto" w:fill="auto"/>
        </w:rPr>
      </w:pPr>
    </w:p>
    <w:p w:rsidR="004E1AF7" w:rsidRPr="00247F60" w:rsidRDefault="004E1AF7" w:rsidP="004E1AF7">
      <w:pPr>
        <w:spacing w:line="300" w:lineRule="exact"/>
        <w:rPr>
          <w:rFonts w:hAnsi="ＭＳ 明朝"/>
          <w:b/>
        </w:rPr>
      </w:pPr>
      <w:r w:rsidRPr="00247F60">
        <w:rPr>
          <w:rFonts w:hAnsi="ＭＳ 明朝" w:hint="eastAsia"/>
          <w:b/>
        </w:rPr>
        <w:t>６．（ＡＴＭ利用制限）</w:t>
      </w:r>
    </w:p>
    <w:p w:rsidR="004E1AF7" w:rsidRPr="00247F60" w:rsidRDefault="004E1AF7" w:rsidP="004E1AF7">
      <w:pPr>
        <w:spacing w:line="300" w:lineRule="exact"/>
        <w:ind w:firstLineChars="200" w:firstLine="420"/>
        <w:rPr>
          <w:rFonts w:hAnsi="ＭＳ 明朝"/>
          <w:shd w:val="pct40" w:color="auto" w:fill="auto"/>
        </w:rPr>
      </w:pPr>
      <w:r w:rsidRPr="00247F60">
        <w:rPr>
          <w:rFonts w:hAnsi="ＭＳ 明朝" w:cs="Courier New" w:hint="eastAsia"/>
          <w:kern w:val="0"/>
          <w:szCs w:val="21"/>
        </w:rPr>
        <w:t>この貯金口座は、</w:t>
      </w:r>
      <w:r w:rsidR="00C822CA" w:rsidRPr="00FF0C3E">
        <w:rPr>
          <w:rFonts w:hAnsi="ＭＳ 明朝" w:cs="Courier New" w:hint="eastAsia"/>
          <w:kern w:val="0"/>
          <w:szCs w:val="21"/>
        </w:rPr>
        <w:t>口座開設店舗が管理する</w:t>
      </w:r>
      <w:r w:rsidRPr="00247F60">
        <w:rPr>
          <w:rFonts w:hAnsi="ＭＳ 明朝" w:cs="Courier New" w:hint="eastAsia"/>
          <w:kern w:val="0"/>
          <w:szCs w:val="21"/>
        </w:rPr>
        <w:t>ＡＴＭを利用した入金</w:t>
      </w:r>
      <w:r w:rsidR="00111581" w:rsidRPr="00247F60">
        <w:rPr>
          <w:rFonts w:hAnsi="ＭＳ 明朝" w:cs="Courier New" w:hint="eastAsia"/>
          <w:kern w:val="0"/>
          <w:szCs w:val="21"/>
        </w:rPr>
        <w:t>と記帳</w:t>
      </w:r>
      <w:r w:rsidRPr="00247F60">
        <w:rPr>
          <w:rFonts w:hAnsi="ＭＳ 明朝" w:cs="Courier New" w:hint="eastAsia"/>
          <w:kern w:val="0"/>
          <w:szCs w:val="21"/>
        </w:rPr>
        <w:t>のみお取扱いが可能です。</w:t>
      </w:r>
    </w:p>
    <w:p w:rsidR="004E1AF7" w:rsidRPr="00247F60" w:rsidRDefault="004E1AF7" w:rsidP="004E1AF7">
      <w:pPr>
        <w:spacing w:line="300" w:lineRule="exact"/>
        <w:rPr>
          <w:rFonts w:hAnsi="ＭＳ 明朝"/>
          <w:shd w:val="pct40" w:color="auto" w:fill="auto"/>
        </w:rPr>
      </w:pPr>
    </w:p>
    <w:p w:rsidR="004E1AF7" w:rsidRPr="00247F60" w:rsidRDefault="004E1AF7" w:rsidP="004E1AF7">
      <w:pPr>
        <w:spacing w:line="300" w:lineRule="exact"/>
        <w:rPr>
          <w:rFonts w:hAnsi="ＭＳ 明朝"/>
          <w:b/>
        </w:rPr>
      </w:pPr>
      <w:r w:rsidRPr="00247F60">
        <w:rPr>
          <w:rFonts w:hAnsi="ＭＳ 明朝" w:hint="eastAsia"/>
          <w:b/>
        </w:rPr>
        <w:t>７．（少額貯蓄非課税制度）</w:t>
      </w:r>
    </w:p>
    <w:p w:rsidR="004E1AF7" w:rsidRPr="00247F60" w:rsidRDefault="004E1AF7" w:rsidP="004E1AF7">
      <w:pPr>
        <w:spacing w:line="300" w:lineRule="exact"/>
        <w:ind w:firstLineChars="200" w:firstLine="420"/>
        <w:rPr>
          <w:rFonts w:hAnsi="ＭＳ 明朝"/>
        </w:rPr>
      </w:pPr>
      <w:r w:rsidRPr="00247F60">
        <w:rPr>
          <w:rFonts w:hAnsi="ＭＳ 明朝" w:hint="eastAsia"/>
        </w:rPr>
        <w:t>この貯金口座は、少額貯蓄非課税制度（通称：マル優）の利用ができません。</w:t>
      </w:r>
    </w:p>
    <w:p w:rsidR="004E1AF7" w:rsidRPr="00247F60" w:rsidRDefault="004E1AF7" w:rsidP="004E1AF7">
      <w:pPr>
        <w:spacing w:line="300" w:lineRule="exact"/>
        <w:rPr>
          <w:rFonts w:hAnsi="ＭＳ 明朝"/>
          <w:shd w:val="pct40" w:color="auto" w:fill="auto"/>
        </w:rPr>
      </w:pPr>
    </w:p>
    <w:p w:rsidR="004E1AF7" w:rsidRPr="00FF0C3E" w:rsidRDefault="004E1AF7" w:rsidP="004E1AF7">
      <w:pPr>
        <w:spacing w:line="300" w:lineRule="exact"/>
        <w:rPr>
          <w:rFonts w:hAnsi="ＭＳ 明朝"/>
          <w:b/>
        </w:rPr>
      </w:pPr>
      <w:r w:rsidRPr="00FF0C3E">
        <w:rPr>
          <w:rFonts w:hAnsi="ＭＳ 明朝" w:hint="eastAsia"/>
          <w:b/>
        </w:rPr>
        <w:t>８．（手数料）</w:t>
      </w:r>
    </w:p>
    <w:p w:rsidR="004E1AF7" w:rsidRPr="00247F60" w:rsidRDefault="004E1AF7" w:rsidP="004E1AF7">
      <w:pPr>
        <w:ind w:leftChars="100" w:left="210" w:firstLineChars="100" w:firstLine="210"/>
        <w:rPr>
          <w:rFonts w:hAnsi="ＭＳ 明朝" w:cs="Courier New"/>
          <w:kern w:val="0"/>
          <w:szCs w:val="21"/>
        </w:rPr>
      </w:pPr>
      <w:r w:rsidRPr="00FF0C3E">
        <w:rPr>
          <w:rFonts w:hAnsi="ＭＳ 明朝" w:cs="Courier New" w:hint="eastAsia"/>
          <w:kern w:val="0"/>
          <w:szCs w:val="21"/>
        </w:rPr>
        <w:t>この貯</w:t>
      </w:r>
      <w:bookmarkStart w:id="0" w:name="_GoBack"/>
      <w:bookmarkEnd w:id="0"/>
      <w:r w:rsidRPr="00FF0C3E">
        <w:rPr>
          <w:rFonts w:hAnsi="ＭＳ 明朝" w:cs="Courier New" w:hint="eastAsia"/>
          <w:kern w:val="0"/>
          <w:szCs w:val="21"/>
        </w:rPr>
        <w:t>金口座</w:t>
      </w:r>
      <w:r w:rsidR="00587CD3" w:rsidRPr="00FF0C3E">
        <w:rPr>
          <w:rFonts w:hAnsi="ＭＳ 明朝" w:cs="Courier New" w:hint="eastAsia"/>
          <w:kern w:val="0"/>
          <w:szCs w:val="21"/>
        </w:rPr>
        <w:t>の開設、維持・管理に係る費用（</w:t>
      </w:r>
      <w:r w:rsidRPr="00FF0C3E">
        <w:rPr>
          <w:rFonts w:hAnsi="ＭＳ 明朝" w:cs="Courier New" w:hint="eastAsia"/>
          <w:kern w:val="0"/>
          <w:szCs w:val="21"/>
        </w:rPr>
        <w:t>定期金交付目的で振替サービス「振込」または定時自動送金を利用する場合</w:t>
      </w:r>
      <w:r w:rsidR="00587CD3" w:rsidRPr="00FF0C3E">
        <w:rPr>
          <w:rFonts w:hAnsi="ＭＳ 明朝" w:cs="Courier New" w:hint="eastAsia"/>
          <w:kern w:val="0"/>
          <w:szCs w:val="21"/>
        </w:rPr>
        <w:t>を含みます。）として</w:t>
      </w:r>
      <w:r w:rsidRPr="00FF0C3E">
        <w:rPr>
          <w:rFonts w:hAnsi="ＭＳ 明朝" w:cs="Courier New" w:hint="eastAsia"/>
          <w:kern w:val="0"/>
          <w:szCs w:val="21"/>
        </w:rPr>
        <w:t>、「指示書」記載の交付金額とは別に、当組合所定の取扱手数料および振込手数料を、振込みの都度、この貯金口座から引落しするものとします。</w:t>
      </w:r>
    </w:p>
    <w:p w:rsidR="004E1AF7" w:rsidRPr="00247F60" w:rsidRDefault="004E1AF7" w:rsidP="004E1AF7">
      <w:pPr>
        <w:spacing w:line="300" w:lineRule="exact"/>
        <w:rPr>
          <w:rFonts w:hAnsi="ＭＳ 明朝"/>
          <w:shd w:val="pct40" w:color="auto" w:fill="auto"/>
        </w:rPr>
      </w:pPr>
    </w:p>
    <w:p w:rsidR="004E1AF7" w:rsidRPr="00247F60" w:rsidRDefault="004E1AF7" w:rsidP="004E1AF7">
      <w:pPr>
        <w:spacing w:line="300" w:lineRule="exact"/>
        <w:rPr>
          <w:rFonts w:hAnsi="ＭＳ 明朝"/>
          <w:b/>
        </w:rPr>
      </w:pPr>
      <w:r w:rsidRPr="00247F60">
        <w:rPr>
          <w:rFonts w:hAnsi="ＭＳ 明朝" w:hint="eastAsia"/>
          <w:b/>
        </w:rPr>
        <w:t>９．（決済用貯金）</w:t>
      </w:r>
    </w:p>
    <w:p w:rsidR="004E1AF7" w:rsidRPr="00247F60" w:rsidRDefault="004E1AF7" w:rsidP="004E1AF7">
      <w:pPr>
        <w:spacing w:line="300" w:lineRule="exact"/>
        <w:ind w:leftChars="100" w:left="210" w:firstLineChars="100" w:firstLine="210"/>
        <w:rPr>
          <w:rFonts w:hAnsi="ＭＳ 明朝"/>
          <w:snapToGrid w:val="0"/>
          <w:kern w:val="0"/>
          <w:szCs w:val="21"/>
        </w:rPr>
      </w:pPr>
      <w:r w:rsidRPr="00247F60">
        <w:rPr>
          <w:rFonts w:hAnsi="ＭＳ 明朝" w:hint="eastAsia"/>
          <w:snapToGrid w:val="0"/>
          <w:kern w:val="0"/>
          <w:szCs w:val="21"/>
        </w:rPr>
        <w:t xml:space="preserve">貯金種別で決済用貯金を希望する場合、もしくは一般貯金と決済用貯金の併用を希望する場合はそれを認めるものとし、併用希望については、本特約第１条にかかわらず２つの口座開設とします。　</w:t>
      </w:r>
    </w:p>
    <w:p w:rsidR="004E1AF7" w:rsidRPr="00247F60" w:rsidRDefault="004E1AF7" w:rsidP="004E1AF7">
      <w:pPr>
        <w:spacing w:line="300" w:lineRule="exact"/>
        <w:ind w:firstLineChars="200" w:firstLine="420"/>
        <w:rPr>
          <w:rFonts w:hAnsi="ＭＳ 明朝"/>
          <w:snapToGrid w:val="0"/>
          <w:kern w:val="0"/>
          <w:szCs w:val="21"/>
        </w:rPr>
      </w:pPr>
      <w:r w:rsidRPr="00247F60">
        <w:rPr>
          <w:rFonts w:hAnsi="ＭＳ 明朝" w:hint="eastAsia"/>
          <w:snapToGrid w:val="0"/>
          <w:kern w:val="0"/>
          <w:szCs w:val="21"/>
        </w:rPr>
        <w:t>なお、決済用貯金は無利息とするほかは、一般貯金と同様の取扱とします。</w:t>
      </w:r>
    </w:p>
    <w:p w:rsidR="004E1AF7" w:rsidRPr="00247F60" w:rsidRDefault="004E1AF7" w:rsidP="004E1AF7">
      <w:pPr>
        <w:spacing w:line="300" w:lineRule="exact"/>
        <w:rPr>
          <w:rFonts w:hAnsi="ＭＳ 明朝"/>
          <w:snapToGrid w:val="0"/>
          <w:kern w:val="0"/>
          <w:szCs w:val="21"/>
        </w:rPr>
      </w:pPr>
    </w:p>
    <w:p w:rsidR="004E1AF7" w:rsidRPr="00247F60" w:rsidRDefault="004E1AF7" w:rsidP="004E1AF7">
      <w:pPr>
        <w:spacing w:line="300" w:lineRule="exact"/>
        <w:rPr>
          <w:rFonts w:hAnsi="ＭＳ 明朝"/>
          <w:b/>
          <w:snapToGrid w:val="0"/>
          <w:kern w:val="0"/>
          <w:szCs w:val="21"/>
        </w:rPr>
      </w:pPr>
      <w:r w:rsidRPr="00247F60">
        <w:rPr>
          <w:rFonts w:hAnsi="ＭＳ 明朝" w:hint="eastAsia"/>
          <w:b/>
          <w:snapToGrid w:val="0"/>
          <w:kern w:val="0"/>
          <w:szCs w:val="21"/>
        </w:rPr>
        <w:t>10.（貯金者死亡時等の取扱）</w:t>
      </w:r>
    </w:p>
    <w:p w:rsidR="004E1AF7" w:rsidRPr="00247F60" w:rsidRDefault="004E1AF7" w:rsidP="004E1AF7">
      <w:pPr>
        <w:spacing w:line="300" w:lineRule="exact"/>
        <w:ind w:leftChars="100" w:left="210" w:firstLineChars="100" w:firstLine="210"/>
        <w:rPr>
          <w:rFonts w:hAnsi="ＭＳ 明朝"/>
          <w:snapToGrid w:val="0"/>
          <w:kern w:val="0"/>
          <w:szCs w:val="21"/>
        </w:rPr>
      </w:pPr>
      <w:r w:rsidRPr="00247F60">
        <w:rPr>
          <w:rFonts w:hAnsi="ＭＳ 明朝" w:hint="eastAsia"/>
          <w:snapToGrid w:val="0"/>
          <w:kern w:val="0"/>
          <w:szCs w:val="21"/>
        </w:rPr>
        <w:t>利用対象者である成年被後見人が死亡した場合等、成年後見制度の適用外となった場合は直ちに当組合に届出てください。当組合所定の口座解約手続等が必要となる場合があります。</w:t>
      </w:r>
    </w:p>
    <w:p w:rsidR="004E1AF7" w:rsidRPr="00247F60" w:rsidRDefault="004E1AF7" w:rsidP="004E1AF7">
      <w:pPr>
        <w:spacing w:line="300" w:lineRule="exact"/>
        <w:rPr>
          <w:rFonts w:hAnsi="ＭＳ 明朝"/>
          <w:b/>
          <w:snapToGrid w:val="0"/>
          <w:kern w:val="0"/>
          <w:szCs w:val="21"/>
        </w:rPr>
      </w:pPr>
    </w:p>
    <w:p w:rsidR="004E1AF7" w:rsidRPr="00247F60" w:rsidRDefault="004E1AF7" w:rsidP="004E1AF7">
      <w:pPr>
        <w:spacing w:line="300" w:lineRule="exact"/>
        <w:rPr>
          <w:rFonts w:hAnsi="ＭＳ 明朝"/>
          <w:b/>
          <w:snapToGrid w:val="0"/>
          <w:kern w:val="0"/>
          <w:szCs w:val="21"/>
        </w:rPr>
      </w:pPr>
      <w:r w:rsidRPr="00247F60">
        <w:rPr>
          <w:rFonts w:hAnsi="ＭＳ 明朝" w:hint="eastAsia"/>
          <w:b/>
          <w:snapToGrid w:val="0"/>
          <w:kern w:val="0"/>
          <w:szCs w:val="21"/>
        </w:rPr>
        <w:t>11.（適用条項）</w:t>
      </w:r>
    </w:p>
    <w:p w:rsidR="00416085" w:rsidRPr="00247F60" w:rsidRDefault="00821910" w:rsidP="00821910">
      <w:pPr>
        <w:ind w:firstLineChars="100" w:firstLine="210"/>
        <w:rPr>
          <w:rFonts w:hAnsi="ＭＳ 明朝" w:cs="Courier New"/>
          <w:kern w:val="0"/>
          <w:szCs w:val="21"/>
        </w:rPr>
        <w:sectPr w:rsidR="00416085" w:rsidRPr="00247F60" w:rsidSect="006269F7">
          <w:footerReference w:type="even" r:id="rId9"/>
          <w:footerReference w:type="default" r:id="rId10"/>
          <w:type w:val="nextColumn"/>
          <w:pgSz w:w="11905" w:h="16837" w:code="9"/>
          <w:pgMar w:top="1247" w:right="1134" w:bottom="1389" w:left="1134" w:header="57" w:footer="851" w:gutter="0"/>
          <w:pgNumType w:start="1"/>
          <w:cols w:space="720"/>
          <w:docGrid w:type="lines" w:linePitch="286"/>
        </w:sectPr>
      </w:pPr>
      <w:r w:rsidRPr="00247F60">
        <w:rPr>
          <w:rFonts w:hAnsi="ＭＳ 明朝" w:cs="Courier New" w:hint="eastAsia"/>
          <w:kern w:val="0"/>
          <w:szCs w:val="21"/>
        </w:rPr>
        <w:t xml:space="preserve">(1)　</w:t>
      </w:r>
      <w:r w:rsidR="004E1AF7" w:rsidRPr="00247F60">
        <w:rPr>
          <w:rFonts w:hAnsi="ＭＳ 明朝" w:cs="Courier New" w:hint="eastAsia"/>
          <w:kern w:val="0"/>
          <w:szCs w:val="21"/>
        </w:rPr>
        <w:t>本特約に定めのない事項については規定または無利息型規定が適用されるものとします。</w:t>
      </w:r>
    </w:p>
    <w:p w:rsidR="004E1AF7" w:rsidRPr="00247F60" w:rsidRDefault="00821910" w:rsidP="00821910">
      <w:pPr>
        <w:ind w:leftChars="50" w:left="420" w:hangingChars="150" w:hanging="315"/>
        <w:rPr>
          <w:rFonts w:hAnsi="ＭＳ 明朝" w:cs="Courier New"/>
          <w:kern w:val="0"/>
          <w:szCs w:val="21"/>
        </w:rPr>
      </w:pPr>
      <w:r w:rsidRPr="00247F60">
        <w:rPr>
          <w:rFonts w:hAnsi="ＭＳ 明朝" w:cs="Courier New" w:hint="eastAsia"/>
          <w:kern w:val="0"/>
          <w:szCs w:val="21"/>
        </w:rPr>
        <w:lastRenderedPageBreak/>
        <w:t xml:space="preserve">(2)　</w:t>
      </w:r>
      <w:r w:rsidR="004E1AF7" w:rsidRPr="00247F60">
        <w:rPr>
          <w:rFonts w:hAnsi="ＭＳ 明朝" w:cs="Courier New" w:hint="eastAsia"/>
          <w:kern w:val="0"/>
          <w:szCs w:val="21"/>
        </w:rPr>
        <w:t>本特約条項と規定または無利息型規定の条項の間で抵触する事項については、本特約条項が優先するものとします。</w:t>
      </w:r>
    </w:p>
    <w:p w:rsidR="004E1AF7" w:rsidRPr="00247F60" w:rsidRDefault="00821910" w:rsidP="00821910">
      <w:pPr>
        <w:ind w:leftChars="58" w:left="437" w:hangingChars="150" w:hanging="315"/>
        <w:jc w:val="left"/>
        <w:rPr>
          <w:rFonts w:hAnsi="ＭＳ 明朝" w:cs="Courier New"/>
          <w:kern w:val="0"/>
          <w:szCs w:val="21"/>
        </w:rPr>
      </w:pPr>
      <w:r w:rsidRPr="00247F60">
        <w:rPr>
          <w:rFonts w:hAnsi="ＭＳ 明朝" w:cs="Courier New" w:hint="eastAsia"/>
          <w:kern w:val="0"/>
          <w:szCs w:val="21"/>
        </w:rPr>
        <w:t xml:space="preserve">(3)　</w:t>
      </w:r>
      <w:r w:rsidR="004E1AF7" w:rsidRPr="00247F60">
        <w:rPr>
          <w:rFonts w:hAnsi="ＭＳ 明朝" w:cs="Courier New" w:hint="eastAsia"/>
          <w:kern w:val="0"/>
          <w:szCs w:val="21"/>
        </w:rPr>
        <w:t>本特約条項および規定または無利息型規定に定めのない事項が発生した場合は、信義誠実原則をもって当組合と協議のうえ決定するものとします。</w:t>
      </w:r>
    </w:p>
    <w:p w:rsidR="006269F7" w:rsidRPr="00247F60" w:rsidRDefault="006269F7" w:rsidP="004E1AF7">
      <w:pPr>
        <w:ind w:leftChars="8" w:left="542" w:hangingChars="250" w:hanging="525"/>
        <w:jc w:val="left"/>
        <w:rPr>
          <w:rFonts w:hAnsi="ＭＳ 明朝"/>
        </w:rPr>
      </w:pPr>
    </w:p>
    <w:p w:rsidR="006269F7" w:rsidRPr="00247F60" w:rsidRDefault="006269F7" w:rsidP="006269F7">
      <w:pPr>
        <w:spacing w:line="300" w:lineRule="exact"/>
        <w:rPr>
          <w:b/>
        </w:rPr>
      </w:pPr>
      <w:r w:rsidRPr="00247F60">
        <w:rPr>
          <w:rFonts w:hint="eastAsia"/>
          <w:b/>
        </w:rPr>
        <w:t>12．（特約の変更）</w:t>
      </w:r>
    </w:p>
    <w:p w:rsidR="006269F7" w:rsidRPr="00247F60" w:rsidRDefault="009A7D98" w:rsidP="009A7D98">
      <w:pPr>
        <w:spacing w:line="300" w:lineRule="exact"/>
        <w:ind w:leftChars="50" w:left="420" w:hangingChars="150" w:hanging="315"/>
        <w:rPr>
          <w:rFonts w:hAnsi="ＭＳ 明朝"/>
          <w:szCs w:val="24"/>
        </w:rPr>
      </w:pPr>
      <w:r w:rsidRPr="00247F60">
        <w:rPr>
          <w:rFonts w:hAnsi="ＭＳ 明朝" w:hint="eastAsia"/>
          <w:szCs w:val="24"/>
        </w:rPr>
        <w:t xml:space="preserve">(1)　</w:t>
      </w:r>
      <w:r w:rsidR="006269F7" w:rsidRPr="00247F60">
        <w:rPr>
          <w:rFonts w:hAnsi="ＭＳ 明朝" w:hint="eastAsia"/>
          <w:szCs w:val="24"/>
        </w:rPr>
        <w:t>この特約は、民法に定める定型約款に該当します。当組合は、この特約の各条項は、金融情勢その他の状況の変化</w:t>
      </w:r>
      <w:r w:rsidR="007456EC">
        <w:rPr>
          <w:rFonts w:hAnsi="ＭＳ 明朝" w:hint="eastAsia"/>
          <w:szCs w:val="24"/>
        </w:rPr>
        <w:t>その他</w:t>
      </w:r>
      <w:r w:rsidR="006269F7" w:rsidRPr="00247F60">
        <w:rPr>
          <w:rFonts w:hAnsi="ＭＳ 明朝" w:hint="eastAsia"/>
          <w:szCs w:val="24"/>
        </w:rPr>
        <w:t>相当の事由があると認められる場合には、民法の変更の</w:t>
      </w:r>
      <w:r w:rsidR="00BE2991">
        <w:rPr>
          <w:rFonts w:hAnsi="ＭＳ 明朝" w:hint="eastAsia"/>
          <w:szCs w:val="24"/>
        </w:rPr>
        <w:t>規定</w:t>
      </w:r>
      <w:r w:rsidR="006269F7" w:rsidRPr="00247F60">
        <w:rPr>
          <w:rFonts w:hAnsi="ＭＳ 明朝" w:hint="eastAsia"/>
          <w:szCs w:val="24"/>
        </w:rPr>
        <w:t>に基づいて変更するものとします。</w:t>
      </w:r>
    </w:p>
    <w:p w:rsidR="006269F7" w:rsidRDefault="009A7D98" w:rsidP="009A7D98">
      <w:pPr>
        <w:spacing w:line="300" w:lineRule="exact"/>
        <w:ind w:leftChars="50" w:left="420" w:hangingChars="150" w:hanging="315"/>
        <w:rPr>
          <w:rFonts w:hAnsi="ＭＳ 明朝"/>
          <w:szCs w:val="24"/>
        </w:rPr>
      </w:pPr>
      <w:r w:rsidRPr="00247F60">
        <w:rPr>
          <w:rFonts w:hAnsi="ＭＳ 明朝" w:hint="eastAsia"/>
          <w:szCs w:val="24"/>
        </w:rPr>
        <w:t xml:space="preserve">(2)　</w:t>
      </w:r>
      <w:r w:rsidR="006269F7" w:rsidRPr="00247F60">
        <w:rPr>
          <w:rFonts w:hAnsi="ＭＳ 明朝" w:hint="eastAsia"/>
          <w:szCs w:val="24"/>
        </w:rPr>
        <w:t>前項によるこの特約の変更は、変更後の特約の内容を、店頭表示、インターネットその他相当の方法で公表し、公表の際に定める適用開始日から適用されるものとします。</w:t>
      </w:r>
    </w:p>
    <w:p w:rsidR="00247F60" w:rsidRPr="00247F60" w:rsidRDefault="00247F60" w:rsidP="009A7D98">
      <w:pPr>
        <w:spacing w:line="300" w:lineRule="exact"/>
        <w:ind w:leftChars="50" w:left="420" w:hangingChars="150" w:hanging="315"/>
        <w:rPr>
          <w:rFonts w:hAnsi="ＭＳ 明朝"/>
          <w:szCs w:val="24"/>
        </w:rPr>
      </w:pPr>
    </w:p>
    <w:p w:rsidR="00CD0903" w:rsidRPr="00247F60" w:rsidRDefault="00F062BE" w:rsidP="00F062BE">
      <w:pPr>
        <w:pStyle w:val="aa"/>
      </w:pPr>
      <w:r w:rsidRPr="00247F60">
        <w:rPr>
          <w:rFonts w:hint="eastAsia"/>
        </w:rPr>
        <w:t>以 上</w:t>
      </w:r>
    </w:p>
    <w:p w:rsidR="00F062BE" w:rsidRPr="004E1AF7" w:rsidRDefault="00F062BE" w:rsidP="00F062BE">
      <w:pPr>
        <w:jc w:val="right"/>
      </w:pPr>
      <w:r w:rsidRPr="00247F60">
        <w:rPr>
          <w:rFonts w:hint="eastAsia"/>
        </w:rPr>
        <w:t>（</w:t>
      </w:r>
      <w:r w:rsidR="006269F7">
        <w:rPr>
          <w:rFonts w:hint="eastAsia"/>
        </w:rPr>
        <w:t>令和</w:t>
      </w:r>
      <w:r w:rsidR="00FC0782">
        <w:rPr>
          <w:rFonts w:hint="eastAsia"/>
        </w:rPr>
        <w:t>3</w:t>
      </w:r>
      <w:r>
        <w:rPr>
          <w:rFonts w:hint="eastAsia"/>
        </w:rPr>
        <w:t>年</w:t>
      </w:r>
      <w:r w:rsidR="006269F7">
        <w:rPr>
          <w:rFonts w:hint="eastAsia"/>
        </w:rPr>
        <w:t>4月</w:t>
      </w:r>
      <w:r>
        <w:rPr>
          <w:rFonts w:hint="eastAsia"/>
        </w:rPr>
        <w:t>1日現在）</w:t>
      </w:r>
    </w:p>
    <w:sectPr w:rsidR="00F062BE" w:rsidRPr="004E1AF7" w:rsidSect="006269F7">
      <w:pgSz w:w="11905" w:h="16837" w:code="9"/>
      <w:pgMar w:top="1247" w:right="1134" w:bottom="1389" w:left="1134" w:header="57" w:footer="851" w:gutter="0"/>
      <w:cols w:space="720"/>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0C6" w:rsidRDefault="001C60C6">
      <w:r>
        <w:separator/>
      </w:r>
    </w:p>
  </w:endnote>
  <w:endnote w:type="continuationSeparator" w:id="0">
    <w:p w:rsidR="001C60C6" w:rsidRDefault="001C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62D" w:rsidRDefault="00EA36B6" w:rsidP="00E570A0">
    <w:pPr>
      <w:pStyle w:val="a6"/>
      <w:framePr w:wrap="around" w:vAnchor="text" w:hAnchor="margin" w:xAlign="center" w:y="1"/>
      <w:rPr>
        <w:rStyle w:val="a8"/>
      </w:rPr>
    </w:pPr>
    <w:r>
      <w:rPr>
        <w:rStyle w:val="a8"/>
      </w:rPr>
      <w:fldChar w:fldCharType="begin"/>
    </w:r>
    <w:r w:rsidR="0095162D">
      <w:rPr>
        <w:rStyle w:val="a8"/>
      </w:rPr>
      <w:instrText xml:space="preserve">PAGE  </w:instrText>
    </w:r>
    <w:r>
      <w:rPr>
        <w:rStyle w:val="a8"/>
      </w:rPr>
      <w:fldChar w:fldCharType="end"/>
    </w:r>
  </w:p>
  <w:p w:rsidR="0095162D" w:rsidRDefault="0095162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359278"/>
      <w:docPartObj>
        <w:docPartGallery w:val="Page Numbers (Bottom of Page)"/>
        <w:docPartUnique/>
      </w:docPartObj>
    </w:sdtPr>
    <w:sdtEndPr/>
    <w:sdtContent>
      <w:p w:rsidR="00A16F56" w:rsidRPr="006269F7" w:rsidRDefault="00EA36B6" w:rsidP="006269F7">
        <w:pPr>
          <w:pStyle w:val="a6"/>
          <w:jc w:val="center"/>
        </w:pPr>
        <w:r>
          <w:fldChar w:fldCharType="begin"/>
        </w:r>
        <w:r w:rsidR="006269F7">
          <w:instrText xml:space="preserve"> PAGE   \* MERGEFORMAT </w:instrText>
        </w:r>
        <w:r>
          <w:fldChar w:fldCharType="separate"/>
        </w:r>
        <w:r w:rsidR="00FF0C3E" w:rsidRPr="00FF0C3E">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0C6" w:rsidRDefault="001C60C6">
      <w:r>
        <w:separator/>
      </w:r>
    </w:p>
  </w:footnote>
  <w:footnote w:type="continuationSeparator" w:id="0">
    <w:p w:rsidR="001C60C6" w:rsidRDefault="001C6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34CB3"/>
    <w:multiLevelType w:val="hybridMultilevel"/>
    <w:tmpl w:val="A168B240"/>
    <w:lvl w:ilvl="0" w:tplc="195C21E4">
      <w:start w:val="1"/>
      <w:numFmt w:val="decimal"/>
      <w:lvlText w:val="(%1)"/>
      <w:lvlJc w:val="left"/>
      <w:pPr>
        <w:tabs>
          <w:tab w:val="num" w:pos="735"/>
        </w:tabs>
        <w:ind w:left="735" w:hanging="525"/>
      </w:pPr>
      <w:rPr>
        <w:rFonts w:hint="eastAsia"/>
      </w:rPr>
    </w:lvl>
    <w:lvl w:ilvl="1" w:tplc="7C624B70" w:tentative="1">
      <w:start w:val="1"/>
      <w:numFmt w:val="aiueoFullWidth"/>
      <w:lvlText w:val="(%2)"/>
      <w:lvlJc w:val="left"/>
      <w:pPr>
        <w:tabs>
          <w:tab w:val="num" w:pos="1050"/>
        </w:tabs>
        <w:ind w:left="1050" w:hanging="420"/>
      </w:pPr>
    </w:lvl>
    <w:lvl w:ilvl="2" w:tplc="62608EAA" w:tentative="1">
      <w:start w:val="1"/>
      <w:numFmt w:val="decimalEnclosedCircle"/>
      <w:lvlText w:val="%3"/>
      <w:lvlJc w:val="left"/>
      <w:pPr>
        <w:tabs>
          <w:tab w:val="num" w:pos="1470"/>
        </w:tabs>
        <w:ind w:left="1470" w:hanging="420"/>
      </w:pPr>
    </w:lvl>
    <w:lvl w:ilvl="3" w:tplc="A300D58C" w:tentative="1">
      <w:start w:val="1"/>
      <w:numFmt w:val="decimal"/>
      <w:lvlText w:val="%4."/>
      <w:lvlJc w:val="left"/>
      <w:pPr>
        <w:tabs>
          <w:tab w:val="num" w:pos="1890"/>
        </w:tabs>
        <w:ind w:left="1890" w:hanging="420"/>
      </w:pPr>
    </w:lvl>
    <w:lvl w:ilvl="4" w:tplc="EDCA0E84" w:tentative="1">
      <w:start w:val="1"/>
      <w:numFmt w:val="aiueoFullWidth"/>
      <w:lvlText w:val="(%5)"/>
      <w:lvlJc w:val="left"/>
      <w:pPr>
        <w:tabs>
          <w:tab w:val="num" w:pos="2310"/>
        </w:tabs>
        <w:ind w:left="2310" w:hanging="420"/>
      </w:pPr>
    </w:lvl>
    <w:lvl w:ilvl="5" w:tplc="3BDE438E" w:tentative="1">
      <w:start w:val="1"/>
      <w:numFmt w:val="decimalEnclosedCircle"/>
      <w:lvlText w:val="%6"/>
      <w:lvlJc w:val="left"/>
      <w:pPr>
        <w:tabs>
          <w:tab w:val="num" w:pos="2730"/>
        </w:tabs>
        <w:ind w:left="2730" w:hanging="420"/>
      </w:pPr>
    </w:lvl>
    <w:lvl w:ilvl="6" w:tplc="1B4ECEFC" w:tentative="1">
      <w:start w:val="1"/>
      <w:numFmt w:val="decimal"/>
      <w:lvlText w:val="%7."/>
      <w:lvlJc w:val="left"/>
      <w:pPr>
        <w:tabs>
          <w:tab w:val="num" w:pos="3150"/>
        </w:tabs>
        <w:ind w:left="3150" w:hanging="420"/>
      </w:pPr>
    </w:lvl>
    <w:lvl w:ilvl="7" w:tplc="43FC6CBC" w:tentative="1">
      <w:start w:val="1"/>
      <w:numFmt w:val="aiueoFullWidth"/>
      <w:lvlText w:val="(%8)"/>
      <w:lvlJc w:val="left"/>
      <w:pPr>
        <w:tabs>
          <w:tab w:val="num" w:pos="3570"/>
        </w:tabs>
        <w:ind w:left="3570" w:hanging="420"/>
      </w:pPr>
    </w:lvl>
    <w:lvl w:ilvl="8" w:tplc="D2EC58D0" w:tentative="1">
      <w:start w:val="1"/>
      <w:numFmt w:val="decimalEnclosedCircle"/>
      <w:lvlText w:val="%9"/>
      <w:lvlJc w:val="left"/>
      <w:pPr>
        <w:tabs>
          <w:tab w:val="num" w:pos="3990"/>
        </w:tabs>
        <w:ind w:left="3990" w:hanging="420"/>
      </w:pPr>
    </w:lvl>
  </w:abstractNum>
  <w:abstractNum w:abstractNumId="1">
    <w:nsid w:val="33DB2433"/>
    <w:multiLevelType w:val="hybridMultilevel"/>
    <w:tmpl w:val="0C5C9C44"/>
    <w:lvl w:ilvl="0" w:tplc="7A7EC67A">
      <w:start w:val="1"/>
      <w:numFmt w:val="decimalEnclosedCircle"/>
      <w:lvlText w:val="%1"/>
      <w:lvlJc w:val="left"/>
      <w:pPr>
        <w:ind w:left="147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2E141B5"/>
    <w:multiLevelType w:val="hybridMultilevel"/>
    <w:tmpl w:val="DB4A296A"/>
    <w:lvl w:ilvl="0" w:tplc="4940A496">
      <w:start w:val="1"/>
      <w:numFmt w:val="decimalEnclosedCircle"/>
      <w:lvlText w:val="%1"/>
      <w:lvlJc w:val="left"/>
      <w:pPr>
        <w:ind w:left="420" w:hanging="420"/>
      </w:pPr>
      <w:rPr>
        <w:rFonts w:ascii="Times New Roman" w:eastAsia="Times New Roman" w:hAnsi="Times New Roman"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9395866"/>
    <w:multiLevelType w:val="hybridMultilevel"/>
    <w:tmpl w:val="52564618"/>
    <w:lvl w:ilvl="0" w:tplc="8EEC7192">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drawingGridHorizontalSpacing w:val="105"/>
  <w:drawingGridVerticalSpacing w:val="143"/>
  <w:displayHorizontalDrawingGridEvery w:val="0"/>
  <w:displayVerticalDrawingGridEvery w:val="2"/>
  <w:doNotShadeFormData/>
  <w:characterSpacingControl w:val="doNotCompress"/>
  <w:noLineBreaksAfter w:lang="ja-JP" w:val="([{〈《「『【〔（［｛｢"/>
  <w:noLineBreaksBefore w:lang="ja-JP" w:val="!),.?]}、。〉》」』】〕！），．？］｝｡｣､ﾞﾟ"/>
  <w:hdrShapeDefaults>
    <o:shapedefaults v:ext="edit" spidmax="7168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9C451C"/>
    <w:rsid w:val="00000EE6"/>
    <w:rsid w:val="000102D5"/>
    <w:rsid w:val="000105E4"/>
    <w:rsid w:val="00021F45"/>
    <w:rsid w:val="0004462C"/>
    <w:rsid w:val="00060186"/>
    <w:rsid w:val="000629FA"/>
    <w:rsid w:val="00065FC7"/>
    <w:rsid w:val="000726BF"/>
    <w:rsid w:val="00075CC4"/>
    <w:rsid w:val="00087BA1"/>
    <w:rsid w:val="00091D99"/>
    <w:rsid w:val="000B4EEF"/>
    <w:rsid w:val="000C46F1"/>
    <w:rsid w:val="000D6887"/>
    <w:rsid w:val="000E1785"/>
    <w:rsid w:val="000E4A8A"/>
    <w:rsid w:val="000E5F58"/>
    <w:rsid w:val="00100E6E"/>
    <w:rsid w:val="00103506"/>
    <w:rsid w:val="00111581"/>
    <w:rsid w:val="0011442F"/>
    <w:rsid w:val="00132093"/>
    <w:rsid w:val="00136DC6"/>
    <w:rsid w:val="001607FF"/>
    <w:rsid w:val="00166B2C"/>
    <w:rsid w:val="001729A0"/>
    <w:rsid w:val="00175A85"/>
    <w:rsid w:val="001947DE"/>
    <w:rsid w:val="00196E69"/>
    <w:rsid w:val="001A136E"/>
    <w:rsid w:val="001B0428"/>
    <w:rsid w:val="001B58DF"/>
    <w:rsid w:val="001C60C6"/>
    <w:rsid w:val="001D50B3"/>
    <w:rsid w:val="001E6DD0"/>
    <w:rsid w:val="001F2C32"/>
    <w:rsid w:val="00225C57"/>
    <w:rsid w:val="00231C1A"/>
    <w:rsid w:val="0023772A"/>
    <w:rsid w:val="00241E33"/>
    <w:rsid w:val="0024381D"/>
    <w:rsid w:val="00247F60"/>
    <w:rsid w:val="00253476"/>
    <w:rsid w:val="002548AA"/>
    <w:rsid w:val="002600EC"/>
    <w:rsid w:val="0026071B"/>
    <w:rsid w:val="00260FB1"/>
    <w:rsid w:val="00263949"/>
    <w:rsid w:val="00274DA9"/>
    <w:rsid w:val="00283C30"/>
    <w:rsid w:val="00283F21"/>
    <w:rsid w:val="002A0A25"/>
    <w:rsid w:val="002A254F"/>
    <w:rsid w:val="002C6B4C"/>
    <w:rsid w:val="002D670E"/>
    <w:rsid w:val="002E3735"/>
    <w:rsid w:val="002F2122"/>
    <w:rsid w:val="0030363E"/>
    <w:rsid w:val="0031442D"/>
    <w:rsid w:val="00333319"/>
    <w:rsid w:val="00341437"/>
    <w:rsid w:val="0037510D"/>
    <w:rsid w:val="00380DE7"/>
    <w:rsid w:val="003C1492"/>
    <w:rsid w:val="003D7A55"/>
    <w:rsid w:val="003E01D0"/>
    <w:rsid w:val="003E47F5"/>
    <w:rsid w:val="00410B5F"/>
    <w:rsid w:val="00416085"/>
    <w:rsid w:val="00417238"/>
    <w:rsid w:val="00424CC9"/>
    <w:rsid w:val="0044664D"/>
    <w:rsid w:val="00451E5A"/>
    <w:rsid w:val="00457F4D"/>
    <w:rsid w:val="00464A05"/>
    <w:rsid w:val="00465DAB"/>
    <w:rsid w:val="00472D01"/>
    <w:rsid w:val="00477702"/>
    <w:rsid w:val="00484BA3"/>
    <w:rsid w:val="004910EC"/>
    <w:rsid w:val="004957E0"/>
    <w:rsid w:val="004A22B2"/>
    <w:rsid w:val="004A69EF"/>
    <w:rsid w:val="004C5989"/>
    <w:rsid w:val="004E0B13"/>
    <w:rsid w:val="004E1AF7"/>
    <w:rsid w:val="004E4A94"/>
    <w:rsid w:val="00504284"/>
    <w:rsid w:val="00506A99"/>
    <w:rsid w:val="0051796B"/>
    <w:rsid w:val="00522CA1"/>
    <w:rsid w:val="0053618D"/>
    <w:rsid w:val="00540075"/>
    <w:rsid w:val="00551460"/>
    <w:rsid w:val="00581DC5"/>
    <w:rsid w:val="00583D2C"/>
    <w:rsid w:val="00587CD3"/>
    <w:rsid w:val="005A534B"/>
    <w:rsid w:val="005C27EC"/>
    <w:rsid w:val="005E101D"/>
    <w:rsid w:val="005E23EA"/>
    <w:rsid w:val="005F3678"/>
    <w:rsid w:val="005F3848"/>
    <w:rsid w:val="00600A72"/>
    <w:rsid w:val="00610439"/>
    <w:rsid w:val="00615103"/>
    <w:rsid w:val="006165F2"/>
    <w:rsid w:val="006269F7"/>
    <w:rsid w:val="00641E5C"/>
    <w:rsid w:val="0065142C"/>
    <w:rsid w:val="006520DE"/>
    <w:rsid w:val="00660FF2"/>
    <w:rsid w:val="006631E7"/>
    <w:rsid w:val="00672A4D"/>
    <w:rsid w:val="00672AE3"/>
    <w:rsid w:val="006771E0"/>
    <w:rsid w:val="00685843"/>
    <w:rsid w:val="00695BA6"/>
    <w:rsid w:val="00696618"/>
    <w:rsid w:val="006A1965"/>
    <w:rsid w:val="006A2979"/>
    <w:rsid w:val="006A45F2"/>
    <w:rsid w:val="006A706A"/>
    <w:rsid w:val="006C428C"/>
    <w:rsid w:val="006C5495"/>
    <w:rsid w:val="006E007A"/>
    <w:rsid w:val="006E1001"/>
    <w:rsid w:val="00706DB2"/>
    <w:rsid w:val="0070739E"/>
    <w:rsid w:val="00711065"/>
    <w:rsid w:val="00716729"/>
    <w:rsid w:val="0071731E"/>
    <w:rsid w:val="007175AF"/>
    <w:rsid w:val="0072643F"/>
    <w:rsid w:val="00735A28"/>
    <w:rsid w:val="007456EC"/>
    <w:rsid w:val="007520B0"/>
    <w:rsid w:val="00757764"/>
    <w:rsid w:val="00766D23"/>
    <w:rsid w:val="00771753"/>
    <w:rsid w:val="00787E0B"/>
    <w:rsid w:val="00790D8D"/>
    <w:rsid w:val="00796FC1"/>
    <w:rsid w:val="007C0721"/>
    <w:rsid w:val="007D3BB2"/>
    <w:rsid w:val="00813C41"/>
    <w:rsid w:val="0081456D"/>
    <w:rsid w:val="008168B7"/>
    <w:rsid w:val="00821910"/>
    <w:rsid w:val="0084216D"/>
    <w:rsid w:val="00856C4B"/>
    <w:rsid w:val="00856E42"/>
    <w:rsid w:val="0086738F"/>
    <w:rsid w:val="008713FE"/>
    <w:rsid w:val="008741D2"/>
    <w:rsid w:val="00892C1D"/>
    <w:rsid w:val="008B2388"/>
    <w:rsid w:val="008B7A17"/>
    <w:rsid w:val="008E5B87"/>
    <w:rsid w:val="00923965"/>
    <w:rsid w:val="00936B04"/>
    <w:rsid w:val="0094732D"/>
    <w:rsid w:val="0095162D"/>
    <w:rsid w:val="009A7D98"/>
    <w:rsid w:val="009C1F64"/>
    <w:rsid w:val="009C451C"/>
    <w:rsid w:val="009C63AD"/>
    <w:rsid w:val="009D608C"/>
    <w:rsid w:val="009E3278"/>
    <w:rsid w:val="009E6639"/>
    <w:rsid w:val="009E7969"/>
    <w:rsid w:val="00A07457"/>
    <w:rsid w:val="00A1587E"/>
    <w:rsid w:val="00A16F56"/>
    <w:rsid w:val="00A246E6"/>
    <w:rsid w:val="00A424C1"/>
    <w:rsid w:val="00A568AD"/>
    <w:rsid w:val="00A6797E"/>
    <w:rsid w:val="00A7434F"/>
    <w:rsid w:val="00A76688"/>
    <w:rsid w:val="00A863C6"/>
    <w:rsid w:val="00A93320"/>
    <w:rsid w:val="00A949E9"/>
    <w:rsid w:val="00AC6E43"/>
    <w:rsid w:val="00AE7D6F"/>
    <w:rsid w:val="00B00B56"/>
    <w:rsid w:val="00B11356"/>
    <w:rsid w:val="00B24577"/>
    <w:rsid w:val="00B338F9"/>
    <w:rsid w:val="00B346C2"/>
    <w:rsid w:val="00B43879"/>
    <w:rsid w:val="00B47220"/>
    <w:rsid w:val="00B55682"/>
    <w:rsid w:val="00B624C1"/>
    <w:rsid w:val="00B7794D"/>
    <w:rsid w:val="00B814EA"/>
    <w:rsid w:val="00B851E4"/>
    <w:rsid w:val="00BD35A0"/>
    <w:rsid w:val="00BE2991"/>
    <w:rsid w:val="00C54052"/>
    <w:rsid w:val="00C543D6"/>
    <w:rsid w:val="00C678B2"/>
    <w:rsid w:val="00C8130C"/>
    <w:rsid w:val="00C822CA"/>
    <w:rsid w:val="00C9483E"/>
    <w:rsid w:val="00CB1BB4"/>
    <w:rsid w:val="00CB1E69"/>
    <w:rsid w:val="00CB6EF5"/>
    <w:rsid w:val="00CC3108"/>
    <w:rsid w:val="00CC72B6"/>
    <w:rsid w:val="00CD0903"/>
    <w:rsid w:val="00CD2386"/>
    <w:rsid w:val="00CD3229"/>
    <w:rsid w:val="00CE0E82"/>
    <w:rsid w:val="00CF2D7B"/>
    <w:rsid w:val="00CF686F"/>
    <w:rsid w:val="00CF6B95"/>
    <w:rsid w:val="00D00DA0"/>
    <w:rsid w:val="00D16483"/>
    <w:rsid w:val="00D21ADD"/>
    <w:rsid w:val="00D32641"/>
    <w:rsid w:val="00D33883"/>
    <w:rsid w:val="00D362DD"/>
    <w:rsid w:val="00D528D6"/>
    <w:rsid w:val="00D534D5"/>
    <w:rsid w:val="00D5639C"/>
    <w:rsid w:val="00D65EB0"/>
    <w:rsid w:val="00D6689D"/>
    <w:rsid w:val="00D74D17"/>
    <w:rsid w:val="00D87E77"/>
    <w:rsid w:val="00D901ED"/>
    <w:rsid w:val="00DA3F2E"/>
    <w:rsid w:val="00DA63BD"/>
    <w:rsid w:val="00DB1F98"/>
    <w:rsid w:val="00DB38E4"/>
    <w:rsid w:val="00DE6A1A"/>
    <w:rsid w:val="00DF2658"/>
    <w:rsid w:val="00E01D2A"/>
    <w:rsid w:val="00E057D6"/>
    <w:rsid w:val="00E15FB7"/>
    <w:rsid w:val="00E16C03"/>
    <w:rsid w:val="00E2374E"/>
    <w:rsid w:val="00E26284"/>
    <w:rsid w:val="00E423C8"/>
    <w:rsid w:val="00E50D64"/>
    <w:rsid w:val="00E570A0"/>
    <w:rsid w:val="00E669E2"/>
    <w:rsid w:val="00E80A39"/>
    <w:rsid w:val="00E82593"/>
    <w:rsid w:val="00E82906"/>
    <w:rsid w:val="00E86A53"/>
    <w:rsid w:val="00EA0221"/>
    <w:rsid w:val="00EA36B6"/>
    <w:rsid w:val="00EA5E8E"/>
    <w:rsid w:val="00EB0A4B"/>
    <w:rsid w:val="00ED2B55"/>
    <w:rsid w:val="00EF48A0"/>
    <w:rsid w:val="00EF4D40"/>
    <w:rsid w:val="00F05DB8"/>
    <w:rsid w:val="00F062BE"/>
    <w:rsid w:val="00F21839"/>
    <w:rsid w:val="00F4212C"/>
    <w:rsid w:val="00F42692"/>
    <w:rsid w:val="00F667F3"/>
    <w:rsid w:val="00F7695D"/>
    <w:rsid w:val="00F85FBC"/>
    <w:rsid w:val="00FA47AF"/>
    <w:rsid w:val="00FC0782"/>
    <w:rsid w:val="00FD30A4"/>
    <w:rsid w:val="00FE0B8A"/>
    <w:rsid w:val="00FE2721"/>
    <w:rsid w:val="00FF0A62"/>
    <w:rsid w:val="00FF0C3E"/>
    <w:rsid w:val="00FF5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1ED"/>
    <w:pPr>
      <w:widowControl w:val="0"/>
      <w:autoSpaceDE w:val="0"/>
      <w:autoSpaceDN w:val="0"/>
      <w:spacing w:line="266" w:lineRule="atLeast"/>
      <w:jc w:val="both"/>
    </w:pPr>
    <w:rPr>
      <w:kern w:val="2"/>
      <w:sz w:val="21"/>
    </w:rPr>
  </w:style>
  <w:style w:type="paragraph" w:styleId="1">
    <w:name w:val="heading 1"/>
    <w:basedOn w:val="a"/>
    <w:next w:val="a"/>
    <w:qFormat/>
    <w:rsid w:val="00D901ED"/>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901ED"/>
    <w:pPr>
      <w:wordWrap w:val="0"/>
      <w:spacing w:line="272" w:lineRule="exact"/>
      <w:ind w:leftChars="-50" w:left="210" w:hangingChars="150" w:hanging="315"/>
    </w:pPr>
  </w:style>
  <w:style w:type="character" w:styleId="a4">
    <w:name w:val="Hyperlink"/>
    <w:rsid w:val="00D901ED"/>
    <w:rPr>
      <w:color w:val="0000FF"/>
      <w:u w:val="single"/>
    </w:rPr>
  </w:style>
  <w:style w:type="paragraph" w:styleId="a5">
    <w:name w:val="header"/>
    <w:basedOn w:val="a"/>
    <w:rsid w:val="00D901ED"/>
    <w:pPr>
      <w:tabs>
        <w:tab w:val="center" w:pos="4252"/>
        <w:tab w:val="right" w:pos="8504"/>
      </w:tabs>
      <w:snapToGrid w:val="0"/>
    </w:pPr>
  </w:style>
  <w:style w:type="paragraph" w:styleId="a6">
    <w:name w:val="footer"/>
    <w:basedOn w:val="a"/>
    <w:link w:val="a7"/>
    <w:uiPriority w:val="99"/>
    <w:rsid w:val="00D901ED"/>
    <w:pPr>
      <w:tabs>
        <w:tab w:val="center" w:pos="4252"/>
        <w:tab w:val="right" w:pos="8504"/>
      </w:tabs>
      <w:snapToGrid w:val="0"/>
    </w:pPr>
  </w:style>
  <w:style w:type="character" w:styleId="a8">
    <w:name w:val="page number"/>
    <w:basedOn w:val="a0"/>
    <w:rsid w:val="00D901ED"/>
  </w:style>
  <w:style w:type="paragraph" w:styleId="a9">
    <w:name w:val="Document Map"/>
    <w:basedOn w:val="a"/>
    <w:semiHidden/>
    <w:rsid w:val="00D901ED"/>
    <w:pPr>
      <w:shd w:val="clear" w:color="auto" w:fill="000080"/>
    </w:pPr>
    <w:rPr>
      <w:rFonts w:ascii="Arial" w:eastAsia="ＭＳ ゴシック" w:hAnsi="Arial"/>
    </w:rPr>
  </w:style>
  <w:style w:type="paragraph" w:styleId="aa">
    <w:name w:val="Closing"/>
    <w:basedOn w:val="a"/>
    <w:rsid w:val="00696618"/>
    <w:pPr>
      <w:jc w:val="right"/>
    </w:pPr>
  </w:style>
  <w:style w:type="paragraph" w:styleId="3">
    <w:name w:val="Body Text Indent 3"/>
    <w:basedOn w:val="a"/>
    <w:rsid w:val="00696618"/>
    <w:pPr>
      <w:ind w:leftChars="400" w:left="851"/>
    </w:pPr>
    <w:rPr>
      <w:sz w:val="16"/>
      <w:szCs w:val="16"/>
    </w:rPr>
  </w:style>
  <w:style w:type="table" w:styleId="ab">
    <w:name w:val="Table Grid"/>
    <w:basedOn w:val="a1"/>
    <w:rsid w:val="000102D5"/>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qFormat/>
    <w:rsid w:val="00263949"/>
    <w:pPr>
      <w:autoSpaceDE/>
      <w:autoSpaceDN/>
      <w:spacing w:line="240" w:lineRule="auto"/>
      <w:ind w:leftChars="400" w:left="840"/>
    </w:pPr>
    <w:rPr>
      <w:rFonts w:ascii="Century"/>
      <w:szCs w:val="22"/>
    </w:rPr>
  </w:style>
  <w:style w:type="character" w:styleId="ad">
    <w:name w:val="annotation reference"/>
    <w:basedOn w:val="a0"/>
    <w:semiHidden/>
    <w:unhideWhenUsed/>
    <w:rsid w:val="00D362DD"/>
    <w:rPr>
      <w:sz w:val="18"/>
      <w:szCs w:val="18"/>
    </w:rPr>
  </w:style>
  <w:style w:type="paragraph" w:styleId="ae">
    <w:name w:val="annotation text"/>
    <w:basedOn w:val="a"/>
    <w:link w:val="af"/>
    <w:semiHidden/>
    <w:unhideWhenUsed/>
    <w:rsid w:val="00D362DD"/>
    <w:pPr>
      <w:jc w:val="left"/>
    </w:pPr>
  </w:style>
  <w:style w:type="character" w:customStyle="1" w:styleId="af">
    <w:name w:val="コメント文字列 (文字)"/>
    <w:basedOn w:val="a0"/>
    <w:link w:val="ae"/>
    <w:semiHidden/>
    <w:rsid w:val="00D362DD"/>
    <w:rPr>
      <w:kern w:val="2"/>
      <w:sz w:val="21"/>
    </w:rPr>
  </w:style>
  <w:style w:type="paragraph" w:styleId="af0">
    <w:name w:val="annotation subject"/>
    <w:basedOn w:val="ae"/>
    <w:next w:val="ae"/>
    <w:link w:val="af1"/>
    <w:semiHidden/>
    <w:unhideWhenUsed/>
    <w:rsid w:val="00D362DD"/>
    <w:rPr>
      <w:b/>
      <w:bCs/>
    </w:rPr>
  </w:style>
  <w:style w:type="character" w:customStyle="1" w:styleId="af1">
    <w:name w:val="コメント内容 (文字)"/>
    <w:basedOn w:val="af"/>
    <w:link w:val="af0"/>
    <w:semiHidden/>
    <w:rsid w:val="00D362DD"/>
    <w:rPr>
      <w:b/>
      <w:bCs/>
      <w:kern w:val="2"/>
      <w:sz w:val="21"/>
    </w:rPr>
  </w:style>
  <w:style w:type="paragraph" w:styleId="af2">
    <w:name w:val="Balloon Text"/>
    <w:basedOn w:val="a"/>
    <w:link w:val="af3"/>
    <w:semiHidden/>
    <w:unhideWhenUsed/>
    <w:rsid w:val="00D362DD"/>
    <w:pPr>
      <w:spacing w:line="240" w:lineRule="auto"/>
    </w:pPr>
    <w:rPr>
      <w:rFonts w:asciiTheme="majorHAnsi" w:eastAsiaTheme="majorEastAsia" w:hAnsiTheme="majorHAnsi" w:cstheme="majorBidi"/>
      <w:sz w:val="18"/>
      <w:szCs w:val="18"/>
    </w:rPr>
  </w:style>
  <w:style w:type="character" w:customStyle="1" w:styleId="af3">
    <w:name w:val="吹き出し (文字)"/>
    <w:basedOn w:val="a0"/>
    <w:link w:val="af2"/>
    <w:semiHidden/>
    <w:rsid w:val="00D362DD"/>
    <w:rPr>
      <w:rFonts w:asciiTheme="majorHAnsi" w:eastAsiaTheme="majorEastAsia" w:hAnsiTheme="majorHAnsi" w:cstheme="majorBidi"/>
      <w:kern w:val="2"/>
      <w:sz w:val="18"/>
      <w:szCs w:val="18"/>
    </w:rPr>
  </w:style>
  <w:style w:type="character" w:customStyle="1" w:styleId="a7">
    <w:name w:val="フッター (文字)"/>
    <w:basedOn w:val="a0"/>
    <w:link w:val="a6"/>
    <w:uiPriority w:val="99"/>
    <w:rsid w:val="006269F7"/>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99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E44CC-F150-4517-AEF6-95F84221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1293</Words>
  <Characters>69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流動性貯金規定</vt:lpstr>
      <vt:lpstr>流動性貯金規定</vt:lpstr>
    </vt:vector>
  </TitlesOfParts>
  <Company>農林中央金庫</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流動性貯金規定</dc:title>
  <dc:creator>農林中央金庫</dc:creator>
  <cp:lastModifiedBy>pc16</cp:lastModifiedBy>
  <cp:revision>15</cp:revision>
  <cp:lastPrinted>2018-10-03T07:15:00Z</cp:lastPrinted>
  <dcterms:created xsi:type="dcterms:W3CDTF">2019-01-11T00:31:00Z</dcterms:created>
  <dcterms:modified xsi:type="dcterms:W3CDTF">2021-02-25T10:07:00Z</dcterms:modified>
</cp:coreProperties>
</file>